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2" w:rsidRDefault="009464E8">
      <w:r>
        <w:rPr>
          <w:noProof/>
        </w:rPr>
        <w:drawing>
          <wp:anchor distT="0" distB="0" distL="114300" distR="114300" simplePos="0" relativeHeight="251659264" behindDoc="0" locked="0" layoutInCell="1" allowOverlap="1" wp14:anchorId="5C90FB1B" wp14:editId="40FE2A4D">
            <wp:simplePos x="0" y="0"/>
            <wp:positionH relativeFrom="column">
              <wp:posOffset>4900930</wp:posOffset>
            </wp:positionH>
            <wp:positionV relativeFrom="paragraph">
              <wp:posOffset>-118745</wp:posOffset>
            </wp:positionV>
            <wp:extent cx="723900" cy="7239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70">
        <w:rPr>
          <w:noProof/>
        </w:rPr>
        <w:drawing>
          <wp:inline distT="0" distB="0" distL="0" distR="0" wp14:anchorId="6A3EE7C8" wp14:editId="0A4ED51A">
            <wp:extent cx="2146422" cy="590550"/>
            <wp:effectExtent l="0" t="0" r="0" b="0"/>
            <wp:docPr id="5" name="Afbeelding 5" descr="C:\Users\Administrator\Desktop\LOGO'S   SVAKODNEVNO\50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50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4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B70">
        <w:t xml:space="preserve"> </w:t>
      </w:r>
      <w:r w:rsidR="00112527">
        <w:rPr>
          <w:noProof/>
        </w:rPr>
        <w:drawing>
          <wp:inline distT="0" distB="0" distL="0" distR="0" wp14:anchorId="0D51FA13" wp14:editId="1CF36426">
            <wp:extent cx="1285875" cy="606544"/>
            <wp:effectExtent l="0" t="0" r="0" b="0"/>
            <wp:docPr id="3" name="Afbeelding 3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41" cy="6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27">
        <w:t xml:space="preserve">  </w:t>
      </w:r>
      <w:r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4055D6F4" wp14:editId="38241D9E">
            <wp:extent cx="1210681" cy="435935"/>
            <wp:effectExtent l="0" t="0" r="0" b="0"/>
            <wp:docPr id="9" name="Afbeelding 9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9" cy="4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12527">
        <w:t xml:space="preserve">    </w:t>
      </w:r>
      <w:r w:rsidR="00FB1B70">
        <w:t xml:space="preserve">       </w:t>
      </w:r>
      <w:r w:rsidR="005A17DA">
        <w:t xml:space="preserve">        </w:t>
      </w:r>
    </w:p>
    <w:p w:rsidR="00080D7A" w:rsidRDefault="005A17DA">
      <w:r>
        <w:t xml:space="preserve">      </w:t>
      </w:r>
      <w:r w:rsidR="003E3531">
        <w:t xml:space="preserve">                     </w:t>
      </w:r>
      <w:r>
        <w:t xml:space="preserve">       </w:t>
      </w:r>
      <w:r w:rsidR="006214F9">
        <w:t xml:space="preserve">                             </w:t>
      </w:r>
      <w:r w:rsidR="00FB1B70">
        <w:rPr>
          <w:b/>
          <w:noProof/>
          <w:sz w:val="28"/>
          <w:szCs w:val="28"/>
        </w:rPr>
        <w:drawing>
          <wp:inline distT="0" distB="0" distL="0" distR="0" wp14:anchorId="7231581B" wp14:editId="6A0E07D4">
            <wp:extent cx="5756910" cy="1689962"/>
            <wp:effectExtent l="0" t="0" r="0" b="0"/>
            <wp:docPr id="4" name="Afbeelding 4" descr="C:\Users\Administrator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8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DA" w:rsidRDefault="005A17DA"/>
    <w:p w:rsidR="002E27E2" w:rsidRDefault="002E27E2" w:rsidP="007F6A61">
      <w:pPr>
        <w:rPr>
          <w:rFonts w:asciiTheme="majorHAnsi" w:hAnsiTheme="majorHAnsi"/>
          <w:u w:val="single"/>
          <w:lang w:val="en-GB"/>
        </w:rPr>
      </w:pPr>
    </w:p>
    <w:p w:rsidR="007F6A61" w:rsidRPr="007D3FB0" w:rsidRDefault="007F6A61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7D3FB0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:</w:t>
      </w:r>
      <w:bookmarkStart w:id="0" w:name="_GoBack"/>
      <w:bookmarkEnd w:id="0"/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911132" w:rsidRPr="007D3FB0" w:rsidRDefault="0091113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7F6A61" w:rsidRPr="007D3FB0" w:rsidRDefault="007F6A61" w:rsidP="00D14DBF">
      <w:pPr>
        <w:jc w:val="both"/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coach  is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to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on court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7D3FB0">
        <w:rPr>
          <w:rFonts w:asciiTheme="majorHAnsi" w:hAnsi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,</w:t>
      </w:r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maximum of 2 minutes).</w:t>
      </w:r>
    </w:p>
    <w:p w:rsidR="00911132" w:rsidRPr="007D3FB0" w:rsidRDefault="0091113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Provided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 are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go on-court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Designation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designate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 court.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change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2. On-Court Coaches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On-court coaches are subject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Code of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Conduct,including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relating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behavior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On-court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dress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present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themselves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manner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wear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appropriate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attire.Tracksuits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t-shirts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dressed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thesole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discretion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Supervisor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Referee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beappealable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asked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change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fails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do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match.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behaved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aggressively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unacceptable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way he/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participate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on-court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remainder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On-court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converse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chosen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language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101D78" w:rsidRDefault="002E27E2" w:rsidP="00D14DBF">
      <w:pPr>
        <w:jc w:val="both"/>
        <w:rPr>
          <w:rFonts w:asciiTheme="majorHAnsi" w:hAnsiTheme="majorHAnsi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e. On-court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sit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designated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seats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toallow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easy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quick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access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court. The coach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theofficial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entrance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get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under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no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stands 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jump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fences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which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mayresult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f. On-court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verbal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assistance/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advice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duringthe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period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bringany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articles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(i.e., food, drinks, equipment, 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medical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supplies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the 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brought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the court but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left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g. On-court coaches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leave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court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immediately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upon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or Chair Umpire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announcing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“Time”.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h. On-court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 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communicate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court.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Coaches are subject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normal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coaching procedures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Penalty Point system.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3. On-Court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On-court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made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Supervisor or Chair Umpire.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at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times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: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per set (at the end of a set). 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part of the set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just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finished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;*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On-court coaching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from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coach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called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court 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leaves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court,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respectively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ii. On-court coaching maximum time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seconds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two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minute)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iii.In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violation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to the Penalty Point system. 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6E14CB" w:rsidRPr="007D3FB0" w:rsidRDefault="006E14CB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6E14CB" w:rsidRPr="007D3FB0" w:rsidRDefault="006E14CB" w:rsidP="00D14DBF">
      <w:pPr>
        <w:jc w:val="both"/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</w:t>
      </w:r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6E14CB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e</w:t>
      </w:r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coaching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without Supervisor or 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Chair Umpire (her opponent)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or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change of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/toilet break,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coaching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also</w:t>
      </w:r>
      <w:proofErr w:type="spellEnd"/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coach.</w:t>
      </w:r>
    </w:p>
    <w:p w:rsidR="002E27E2" w:rsidRPr="007D3FB0" w:rsidRDefault="002E27E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BE5B39" w:rsidRPr="007D3FB0" w:rsidRDefault="006E14CB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</w:t>
      </w:r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make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of the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the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time: (i) on-court coaching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; (ii)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MTO; or (iii)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toilet/change of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break.</w:t>
      </w:r>
    </w:p>
    <w:p w:rsidR="00CB5D62" w:rsidRPr="007D3FB0" w:rsidRDefault="00CB5D62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CB5D62" w:rsidRPr="007D3FB0" w:rsidRDefault="006C015B" w:rsidP="00D14DBF">
      <w:pPr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TEN-PRO</w:t>
      </w:r>
      <w:r w:rsidR="00101D78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Team</w:t>
      </w:r>
    </w:p>
    <w:p w:rsidR="006476F1" w:rsidRDefault="006476F1">
      <w:pPr>
        <w:rPr>
          <w:rFonts w:asciiTheme="majorHAnsi" w:hAnsiTheme="majorHAnsi"/>
        </w:rPr>
      </w:pPr>
    </w:p>
    <w:p w:rsidR="00FE1902" w:rsidRDefault="00452DB2" w:rsidP="00FE190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4196" cy="771525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94" cy="7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78" w:rsidRDefault="00D3518A" w:rsidP="00FE1902">
      <w:pPr>
        <w:rPr>
          <w:rFonts w:asciiTheme="majorHAnsi" w:hAnsiTheme="majorHAnsi"/>
          <w:color w:val="808080" w:themeColor="background1" w:themeShade="80"/>
          <w:sz w:val="18"/>
          <w:szCs w:val="18"/>
        </w:rPr>
      </w:pPr>
      <w:r w:rsidRPr="00D3518A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 </w:t>
      </w:r>
    </w:p>
    <w:p w:rsidR="00D3518A" w:rsidRPr="00D3518A" w:rsidRDefault="00D3518A" w:rsidP="00FE1902">
      <w:pPr>
        <w:rPr>
          <w:rFonts w:asciiTheme="majorHAnsi" w:hAnsiTheme="majorHAnsi"/>
          <w:color w:val="808080" w:themeColor="background1" w:themeShade="80"/>
          <w:sz w:val="18"/>
          <w:szCs w:val="18"/>
        </w:rPr>
      </w:pPr>
      <w:proofErr w:type="spellStart"/>
      <w:r w:rsidRPr="00D3518A">
        <w:rPr>
          <w:rFonts w:asciiTheme="majorHAnsi" w:hAnsiTheme="majorHAnsi"/>
          <w:color w:val="808080" w:themeColor="background1" w:themeShade="80"/>
          <w:sz w:val="18"/>
          <w:szCs w:val="18"/>
        </w:rPr>
        <w:t>Powered</w:t>
      </w:r>
      <w:proofErr w:type="spellEnd"/>
      <w:r w:rsidRPr="00D3518A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3518A">
        <w:rPr>
          <w:rFonts w:asciiTheme="majorHAnsi" w:hAnsiTheme="majorHAnsi"/>
          <w:color w:val="808080" w:themeColor="background1" w:themeShade="80"/>
          <w:sz w:val="18"/>
          <w:szCs w:val="18"/>
        </w:rPr>
        <w:t>by</w:t>
      </w:r>
      <w:proofErr w:type="spellEnd"/>
      <w:r w:rsidRPr="00D3518A">
        <w:rPr>
          <w:rFonts w:asciiTheme="majorHAnsi" w:hAnsiTheme="majorHAnsi"/>
          <w:color w:val="808080" w:themeColor="background1" w:themeShade="80"/>
          <w:sz w:val="18"/>
          <w:szCs w:val="18"/>
        </w:rPr>
        <w:t>:</w:t>
      </w:r>
      <w:r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</w:t>
      </w:r>
      <w:r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42A2AFB1" wp14:editId="763B0485">
            <wp:extent cx="600075" cy="238883"/>
            <wp:effectExtent l="0" t="0" r="0" b="0"/>
            <wp:docPr id="1" name="Afbeelding 1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&amp; </w:t>
      </w:r>
      <w:r w:rsidR="007171FF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561267" cy="238125"/>
            <wp:effectExtent l="0" t="0" r="0" b="0"/>
            <wp:docPr id="7" name="Afbeelding 7" descr="C:\Users\Administrator\Desktop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Zenniz logo O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9" cy="2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95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&amp; </w:t>
      </w:r>
      <w:r w:rsidR="00064095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60E441AC" wp14:editId="2FB83DA0">
            <wp:extent cx="520296" cy="304800"/>
            <wp:effectExtent l="0" t="0" r="0" b="0"/>
            <wp:docPr id="8" name="Afbeelding 8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02" w:rsidRDefault="00FE1902" w:rsidP="00FE1902">
      <w:pPr>
        <w:rPr>
          <w:rFonts w:asciiTheme="majorHAnsi" w:hAnsiTheme="majorHAnsi"/>
        </w:rPr>
      </w:pPr>
    </w:p>
    <w:p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meri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76F1"/>
    <w:rsid w:val="0000324C"/>
    <w:rsid w:val="00020035"/>
    <w:rsid w:val="00064095"/>
    <w:rsid w:val="00067E89"/>
    <w:rsid w:val="00076FAE"/>
    <w:rsid w:val="00080D7A"/>
    <w:rsid w:val="00081E18"/>
    <w:rsid w:val="000B186B"/>
    <w:rsid w:val="000B3857"/>
    <w:rsid w:val="000B5817"/>
    <w:rsid w:val="000C4719"/>
    <w:rsid w:val="000E097A"/>
    <w:rsid w:val="00101D78"/>
    <w:rsid w:val="00112527"/>
    <w:rsid w:val="00126A78"/>
    <w:rsid w:val="00176A21"/>
    <w:rsid w:val="001C5550"/>
    <w:rsid w:val="001E15C6"/>
    <w:rsid w:val="001E5B9A"/>
    <w:rsid w:val="002240EE"/>
    <w:rsid w:val="00241201"/>
    <w:rsid w:val="002A1B8D"/>
    <w:rsid w:val="002D5B35"/>
    <w:rsid w:val="002E27E2"/>
    <w:rsid w:val="002F1A70"/>
    <w:rsid w:val="00333866"/>
    <w:rsid w:val="00391844"/>
    <w:rsid w:val="003C3117"/>
    <w:rsid w:val="003E3531"/>
    <w:rsid w:val="00406CA8"/>
    <w:rsid w:val="00440D83"/>
    <w:rsid w:val="00452DB2"/>
    <w:rsid w:val="00457D81"/>
    <w:rsid w:val="00484516"/>
    <w:rsid w:val="004B5163"/>
    <w:rsid w:val="004D405D"/>
    <w:rsid w:val="00507AED"/>
    <w:rsid w:val="0052322B"/>
    <w:rsid w:val="00531AE3"/>
    <w:rsid w:val="00556B78"/>
    <w:rsid w:val="00573E8D"/>
    <w:rsid w:val="005A17DA"/>
    <w:rsid w:val="005D6BFF"/>
    <w:rsid w:val="00617843"/>
    <w:rsid w:val="006214F9"/>
    <w:rsid w:val="0064334C"/>
    <w:rsid w:val="006476F1"/>
    <w:rsid w:val="00685D23"/>
    <w:rsid w:val="006A0607"/>
    <w:rsid w:val="006A685A"/>
    <w:rsid w:val="006B0D84"/>
    <w:rsid w:val="006B763D"/>
    <w:rsid w:val="006C015B"/>
    <w:rsid w:val="006C1407"/>
    <w:rsid w:val="006C3CB9"/>
    <w:rsid w:val="006E14CB"/>
    <w:rsid w:val="007034D7"/>
    <w:rsid w:val="00707727"/>
    <w:rsid w:val="007171FF"/>
    <w:rsid w:val="007363A7"/>
    <w:rsid w:val="00751732"/>
    <w:rsid w:val="007575E8"/>
    <w:rsid w:val="0079124F"/>
    <w:rsid w:val="007C1788"/>
    <w:rsid w:val="007C5510"/>
    <w:rsid w:val="007D3FB0"/>
    <w:rsid w:val="007F6607"/>
    <w:rsid w:val="007F6A61"/>
    <w:rsid w:val="00811178"/>
    <w:rsid w:val="00815961"/>
    <w:rsid w:val="00833C2F"/>
    <w:rsid w:val="008433A5"/>
    <w:rsid w:val="00894C54"/>
    <w:rsid w:val="008B4606"/>
    <w:rsid w:val="008B6487"/>
    <w:rsid w:val="008B72EB"/>
    <w:rsid w:val="008E06C5"/>
    <w:rsid w:val="00911132"/>
    <w:rsid w:val="0092227D"/>
    <w:rsid w:val="009464E8"/>
    <w:rsid w:val="00947727"/>
    <w:rsid w:val="0095413A"/>
    <w:rsid w:val="00960ED3"/>
    <w:rsid w:val="009A0B71"/>
    <w:rsid w:val="009A207C"/>
    <w:rsid w:val="009A2AA5"/>
    <w:rsid w:val="009C2443"/>
    <w:rsid w:val="00AA06CC"/>
    <w:rsid w:val="00AA64B5"/>
    <w:rsid w:val="00AC0458"/>
    <w:rsid w:val="00AE108F"/>
    <w:rsid w:val="00AE7909"/>
    <w:rsid w:val="00B13431"/>
    <w:rsid w:val="00B17876"/>
    <w:rsid w:val="00B30644"/>
    <w:rsid w:val="00B60D8C"/>
    <w:rsid w:val="00B63AE1"/>
    <w:rsid w:val="00BA63F5"/>
    <w:rsid w:val="00BA732E"/>
    <w:rsid w:val="00BC1F8E"/>
    <w:rsid w:val="00BE5B39"/>
    <w:rsid w:val="00C323D8"/>
    <w:rsid w:val="00C42766"/>
    <w:rsid w:val="00C44B26"/>
    <w:rsid w:val="00CB52D5"/>
    <w:rsid w:val="00CB5D62"/>
    <w:rsid w:val="00CD1EED"/>
    <w:rsid w:val="00CE32C7"/>
    <w:rsid w:val="00CF1F79"/>
    <w:rsid w:val="00D14DBF"/>
    <w:rsid w:val="00D3518A"/>
    <w:rsid w:val="00D37F5E"/>
    <w:rsid w:val="00D56121"/>
    <w:rsid w:val="00D9283F"/>
    <w:rsid w:val="00DF1AC0"/>
    <w:rsid w:val="00E00378"/>
    <w:rsid w:val="00E035CE"/>
    <w:rsid w:val="00E32F08"/>
    <w:rsid w:val="00E34013"/>
    <w:rsid w:val="00E52696"/>
    <w:rsid w:val="00E7264B"/>
    <w:rsid w:val="00E92710"/>
    <w:rsid w:val="00EA435E"/>
    <w:rsid w:val="00EB3435"/>
    <w:rsid w:val="00EE7C40"/>
    <w:rsid w:val="00F26335"/>
    <w:rsid w:val="00F30AC7"/>
    <w:rsid w:val="00F40A8E"/>
    <w:rsid w:val="00F93238"/>
    <w:rsid w:val="00FB1B70"/>
    <w:rsid w:val="00FD6E34"/>
    <w:rsid w:val="00FE1902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954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Administrator</cp:lastModifiedBy>
  <cp:revision>95</cp:revision>
  <dcterms:created xsi:type="dcterms:W3CDTF">2015-05-11T08:16:00Z</dcterms:created>
  <dcterms:modified xsi:type="dcterms:W3CDTF">2021-10-15T08:40:00Z</dcterms:modified>
</cp:coreProperties>
</file>