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8" w:rsidRDefault="00A9300A" w:rsidP="00E5647B">
      <w:pPr>
        <w:rPr>
          <w:rFonts w:asciiTheme="majorHAnsi" w:hAnsiTheme="majorHAnsi"/>
          <w:sz w:val="28"/>
          <w:szCs w:val="28"/>
        </w:rPr>
      </w:pPr>
      <w:r w:rsidRPr="00A9300A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0720" cy="1265671"/>
            <wp:effectExtent l="19050" t="0" r="0" b="0"/>
            <wp:docPr id="13" name="Afbeelding 2" descr="C:\Users\GORAN\Desktop\AS-C  USA\2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AS-C  USA\2_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00A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47657" cy="1066800"/>
            <wp:effectExtent l="19050" t="0" r="5443" b="0"/>
            <wp:docPr id="15" name="Afbeelding 3" descr="C:\Users\GORAN\Desktop\AS-C  USA\25_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AS-C  USA\25_4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98A">
        <w:rPr>
          <w:rFonts w:asciiTheme="majorHAnsi" w:hAnsiTheme="majorHAnsi"/>
          <w:sz w:val="28"/>
          <w:szCs w:val="28"/>
        </w:rPr>
        <w:t xml:space="preserve">                      </w:t>
      </w:r>
      <w:r w:rsidR="007615D6">
        <w:rPr>
          <w:rFonts w:asciiTheme="majorHAnsi" w:hAnsiTheme="majorHAnsi"/>
          <w:sz w:val="28"/>
          <w:szCs w:val="28"/>
        </w:rPr>
        <w:t xml:space="preserve">    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8D5DFF" w:rsidRDefault="008D5DFF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B975F7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>
        <w:rPr>
          <w:rFonts w:cs="Arial"/>
          <w:color w:val="404040" w:themeColor="text1" w:themeTint="BF"/>
          <w:sz w:val="22"/>
          <w:szCs w:val="22"/>
        </w:rPr>
        <w:t>Sanchez-Casal</w:t>
      </w:r>
      <w:proofErr w:type="spellEnd"/>
      <w:r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38459A">
        <w:rPr>
          <w:rFonts w:cstheme="minorHAnsi"/>
          <w:color w:val="404040" w:themeColor="text1" w:themeTint="BF"/>
          <w:sz w:val="22"/>
          <w:szCs w:val="22"/>
          <w:lang w:val="en-GB"/>
        </w:rPr>
        <w:t>by TEN-PRO Global Junior Tour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, 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(21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>-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25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38459A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August 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2019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)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B975F7">
        <w:rPr>
          <w:rFonts w:cs="Arial"/>
          <w:color w:val="404040" w:themeColor="text1" w:themeTint="BF"/>
          <w:sz w:val="22"/>
          <w:szCs w:val="22"/>
        </w:rPr>
        <w:t>Sanchez-Casal</w:t>
      </w:r>
      <w:proofErr w:type="spellEnd"/>
      <w:r w:rsidR="00B975F7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762743">
        <w:rPr>
          <w:rFonts w:cstheme="minorHAnsi"/>
          <w:color w:val="404040" w:themeColor="text1" w:themeTint="BF"/>
          <w:sz w:val="22"/>
          <w:szCs w:val="22"/>
          <w:lang w:val="en-GB"/>
        </w:rPr>
        <w:t>by TEN-PRO Global Junior Tour</w:t>
      </w:r>
      <w:r w:rsidR="00762743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B975F7">
        <w:rPr>
          <w:rFonts w:cstheme="minorHAnsi"/>
          <w:color w:val="404040" w:themeColor="text1" w:themeTint="BF"/>
          <w:sz w:val="22"/>
          <w:szCs w:val="22"/>
        </w:rPr>
        <w:t>ASC</w:t>
      </w:r>
      <w:r w:rsidR="00762743">
        <w:rPr>
          <w:rFonts w:cstheme="minorHAnsi"/>
          <w:color w:val="404040" w:themeColor="text1" w:themeTint="BF"/>
          <w:sz w:val="22"/>
          <w:szCs w:val="22"/>
        </w:rPr>
        <w:t>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  <w:r w:rsidRPr="00DA165C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DA165C">
        <w:rPr>
          <w:rStyle w:val="Zwaar"/>
          <w:rFonts w:asciiTheme="minorHAnsi" w:hAnsiTheme="minorHAnsi"/>
          <w:color w:val="404040" w:themeColor="text1" w:themeTint="BF"/>
          <w:sz w:val="22"/>
          <w:szCs w:val="22"/>
        </w:rPr>
        <w:t>* 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same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applies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also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players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qualifying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However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majeure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such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rainy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injury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opponents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something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else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can’t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8 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arrange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alternative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practice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appeal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against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above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B975F7">
        <w:rPr>
          <w:rFonts w:cstheme="minorHAnsi"/>
          <w:color w:val="404040" w:themeColor="text1" w:themeTint="BF"/>
          <w:sz w:val="22"/>
          <w:szCs w:val="22"/>
        </w:rPr>
        <w:t>ASC-TP</w:t>
      </w:r>
      <w:r w:rsidR="00B975F7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B975F7" w:rsidRPr="00D304EE">
        <w:rPr>
          <w:rFonts w:cstheme="minorHAnsi"/>
          <w:color w:val="404040" w:themeColor="text1" w:themeTint="BF"/>
          <w:sz w:val="22"/>
          <w:szCs w:val="22"/>
          <w:lang w:val="en-GB"/>
        </w:rPr>
        <w:t>Wednesday</w:t>
      </w:r>
      <w:r w:rsidR="004272AC" w:rsidRPr="00DA165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B975F7">
        <w:rPr>
          <w:color w:val="404040" w:themeColor="text1" w:themeTint="BF"/>
          <w:sz w:val="22"/>
          <w:szCs w:val="22"/>
          <w:lang w:val="en-GB"/>
        </w:rPr>
        <w:t>21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to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and i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n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cl.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Sunday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B975F7">
        <w:rPr>
          <w:rFonts w:cstheme="minorHAnsi"/>
          <w:color w:val="404040" w:themeColor="text1" w:themeTint="BF"/>
          <w:sz w:val="22"/>
          <w:szCs w:val="22"/>
          <w:lang w:val="en-GB"/>
        </w:rPr>
        <w:t>25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of 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August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A60B4C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DA165C" w:rsidRDefault="00C66FBC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(Players born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from 2004</w:t>
      </w:r>
      <w:r w:rsidR="009B4E39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to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2011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ply on this tournament)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A tiebreak</w:t>
      </w:r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at 6 – 6 in all sets.</w:t>
      </w:r>
    </w:p>
    <w:p w:rsidR="00E24786" w:rsidRPr="00DA165C" w:rsidRDefault="00E24786" w:rsidP="00E24786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B975F7">
        <w:rPr>
          <w:rFonts w:cstheme="minorHAnsi"/>
          <w:color w:val="404040" w:themeColor="text1" w:themeTint="BF"/>
          <w:sz w:val="22"/>
          <w:szCs w:val="22"/>
        </w:rPr>
        <w:t>ASC-TP</w:t>
      </w:r>
      <w:r w:rsidR="00B975F7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43068A">
        <w:rPr>
          <w:rFonts w:cstheme="minorHAnsi"/>
          <w:sz w:val="22"/>
          <w:szCs w:val="22"/>
        </w:rPr>
        <w:t xml:space="preserve"> </w:t>
      </w:r>
      <w:hyperlink r:id="rId7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B12A7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We guarantee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every player a minimum of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="00E24786" w:rsidRPr="00DA165C">
        <w:rPr>
          <w:color w:val="404040" w:themeColor="text1" w:themeTint="BF"/>
          <w:sz w:val="22"/>
          <w:szCs w:val="22"/>
        </w:rPr>
        <w:t xml:space="preserve">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rule 1 </w:t>
      </w:r>
    </w:p>
    <w:p w:rsidR="00E24786" w:rsidRPr="00DA165C" w:rsidRDefault="00E24786" w:rsidP="00E24786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43068A">
        <w:rPr>
          <w:b/>
          <w:color w:val="FF66FF"/>
          <w:sz w:val="22"/>
          <w:szCs w:val="22"/>
          <w:shd w:val="clear" w:color="auto" w:fill="FFFFFF"/>
        </w:rPr>
        <w:t>:</w:t>
      </w:r>
      <w:r w:rsidRPr="0043068A">
        <w:rPr>
          <w:rStyle w:val="apple-converted-space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DA165C">
        <w:rPr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DA165C">
        <w:rPr>
          <w:color w:val="404040" w:themeColor="text1" w:themeTint="BF"/>
          <w:sz w:val="22"/>
          <w:szCs w:val="22"/>
          <w:shd w:val="clear" w:color="auto" w:fill="FFFFFF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43068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6DB8" w:rsidRPr="00396DB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396DB8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* See rule 1</w:t>
      </w:r>
    </w:p>
    <w:p w:rsidR="00E24786" w:rsidRPr="00E84C8F" w:rsidRDefault="00E24786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8. </w:t>
      </w:r>
      <w:r w:rsidRPr="00DA165C">
        <w:rPr>
          <w:color w:val="404040" w:themeColor="text1" w:themeTint="BF"/>
          <w:sz w:val="22"/>
          <w:szCs w:val="22"/>
        </w:rPr>
        <w:t xml:space="preserve">The </w:t>
      </w:r>
      <w:proofErr w:type="spellStart"/>
      <w:r w:rsidRPr="00DA165C">
        <w:rPr>
          <w:color w:val="404040" w:themeColor="text1" w:themeTint="BF"/>
          <w:sz w:val="22"/>
          <w:szCs w:val="22"/>
        </w:rPr>
        <w:t>closing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fixed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r w:rsidR="00B975F7">
        <w:rPr>
          <w:color w:val="404040" w:themeColor="text1" w:themeTint="BF"/>
          <w:sz w:val="22"/>
          <w:szCs w:val="22"/>
        </w:rPr>
        <w:t>August 12th 2019</w:t>
      </w:r>
      <w:r w:rsidRPr="00DA165C">
        <w:rPr>
          <w:color w:val="404040" w:themeColor="text1" w:themeTint="BF"/>
          <w:sz w:val="22"/>
          <w:szCs w:val="22"/>
        </w:rPr>
        <w:t xml:space="preserve"> at 14.00.</w:t>
      </w:r>
      <w:r w:rsidR="00D060A2" w:rsidRPr="00D060A2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B975F7">
        <w:rPr>
          <w:b/>
          <w:color w:val="404040" w:themeColor="text1" w:themeTint="BF"/>
          <w:sz w:val="22"/>
          <w:szCs w:val="22"/>
        </w:rPr>
        <w:t>P</w:t>
      </w:r>
      <w:r w:rsidR="00D060A2">
        <w:rPr>
          <w:b/>
          <w:color w:val="404040" w:themeColor="text1" w:themeTint="BF"/>
          <w:sz w:val="22"/>
          <w:szCs w:val="22"/>
        </w:rPr>
        <w:t>roviding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hasn’t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reached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yet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at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that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time!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9.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criteria of TEN-PRO.</w:t>
      </w:r>
    </w:p>
    <w:p w:rsidR="00C44890" w:rsidRPr="00B31031" w:rsidRDefault="00E24786" w:rsidP="00C44890">
      <w:pPr>
        <w:tabs>
          <w:tab w:val="left" w:pos="7956"/>
        </w:tabs>
        <w:rPr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 xml:space="preserve">€ 135,00 ($ 150,00) per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participant (per category), </w:t>
      </w:r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A discount of </w:t>
      </w:r>
      <w:r w:rsidR="00C44890">
        <w:rPr>
          <w:color w:val="404040" w:themeColor="text1" w:themeTint="BF"/>
          <w:sz w:val="22"/>
          <w:szCs w:val="22"/>
          <w:lang w:val="da-DK"/>
        </w:rPr>
        <w:t xml:space="preserve">€ </w:t>
      </w:r>
      <w:r w:rsidR="00CB7499">
        <w:rPr>
          <w:color w:val="404040" w:themeColor="text1" w:themeTint="BF"/>
          <w:sz w:val="22"/>
          <w:szCs w:val="22"/>
          <w:lang w:val="da-DK"/>
        </w:rPr>
        <w:t>10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>,-</w:t>
      </w:r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CB7499">
        <w:rPr>
          <w:color w:val="404040" w:themeColor="text1" w:themeTint="BF"/>
          <w:sz w:val="22"/>
          <w:szCs w:val="22"/>
          <w:lang w:val="da-DK"/>
        </w:rPr>
        <w:t>($ 15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 xml:space="preserve">,-)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can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offered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before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June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30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players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playing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2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categories</w:t>
      </w:r>
      <w:proofErr w:type="spellEnd"/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. Participation is only possible if the parent/guardian agrees to the method of payment and that the payment is made to Ten-Pro within </w:t>
      </w:r>
      <w:r w:rsidR="00CB7499">
        <w:rPr>
          <w:color w:val="404040" w:themeColor="text1" w:themeTint="BF"/>
          <w:sz w:val="22"/>
          <w:szCs w:val="22"/>
          <w:lang w:val="en-GB"/>
        </w:rPr>
        <w:t>7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 days after being requested.</w:t>
      </w:r>
    </w:p>
    <w:p w:rsidR="00E24786" w:rsidRPr="00DA165C" w:rsidRDefault="00E24786" w:rsidP="001E184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+</w:t>
      </w:r>
      <w:r w:rsidR="00E421D2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11 88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CB7499">
        <w:rPr>
          <w:rFonts w:cstheme="minorHAnsi"/>
          <w:color w:val="404040" w:themeColor="text1" w:themeTint="BF"/>
          <w:sz w:val="22"/>
          <w:szCs w:val="22"/>
        </w:rPr>
        <w:t>ASC-TP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B73B8F">
        <w:rPr>
          <w:rFonts w:cstheme="minorHAnsi"/>
          <w:color w:val="404040" w:themeColor="text1" w:themeTint="BF"/>
          <w:sz w:val="22"/>
          <w:szCs w:val="22"/>
        </w:rPr>
        <w:t>IMG-TP</w:t>
      </w:r>
      <w:r w:rsidR="00B73B8F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9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0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30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The last matches of</w:t>
      </w:r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B73B8F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="00B73B8F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="00B73B8F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8.3</w:t>
      </w:r>
      <w:r w:rsidRPr="00DA165C">
        <w:rPr>
          <w:rFonts w:cstheme="minorHAnsi"/>
          <w:color w:val="404040" w:themeColor="text1" w:themeTint="BF"/>
          <w:sz w:val="22"/>
          <w:szCs w:val="22"/>
        </w:rPr>
        <w:t>0 p.m.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43068A">
        <w:rPr>
          <w:rFonts w:cstheme="minorHAnsi"/>
          <w:sz w:val="22"/>
          <w:szCs w:val="22"/>
        </w:rPr>
        <w:t xml:space="preserve"> </w:t>
      </w:r>
      <w:r w:rsidR="00B86DDF">
        <w:rPr>
          <w:rFonts w:cstheme="minorHAnsi"/>
          <w:color w:val="404040" w:themeColor="text1" w:themeTint="BF"/>
          <w:sz w:val="22"/>
          <w:szCs w:val="22"/>
        </w:rPr>
        <w:t>ASC-TP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1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 </w:t>
      </w:r>
      <w:proofErr w:type="spellStart"/>
      <w:r w:rsidRPr="00B73B8F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B73B8F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B73B8F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2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886FBE">
      <w:pPr>
        <w:tabs>
          <w:tab w:val="left" w:pos="7956"/>
        </w:tabs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 xml:space="preserve">The matches will be played on </w:t>
      </w:r>
      <w:r w:rsidR="00B86DDF">
        <w:rPr>
          <w:color w:val="404040" w:themeColor="text1" w:themeTint="BF"/>
          <w:sz w:val="22"/>
          <w:szCs w:val="22"/>
          <w:lang w:val="en-GB"/>
        </w:rPr>
        <w:t>American clay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 xml:space="preserve"> courts</w:t>
      </w:r>
      <w:r w:rsidR="00C8219C">
        <w:rPr>
          <w:color w:val="404040" w:themeColor="text1" w:themeTint="BF"/>
          <w:sz w:val="22"/>
          <w:szCs w:val="22"/>
          <w:lang w:val="en-GB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28. The matches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US Open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31 6 2211 8857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43068A">
        <w:rPr>
          <w:rFonts w:cstheme="minorHAnsi"/>
          <w:sz w:val="22"/>
          <w:szCs w:val="22"/>
        </w:rPr>
        <w:t xml:space="preserve"> </w:t>
      </w:r>
      <w:hyperlink r:id="rId13" w:history="1">
        <w:r w:rsidR="006833D8"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C8219C" w:rsidRPr="00B86DDF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C8219C" w:rsidRDefault="00C8219C" w:rsidP="00E24786">
      <w:pPr>
        <w:rPr>
          <w:rFonts w:cstheme="minorHAnsi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OTHER REGULATIONS</w:t>
      </w:r>
    </w:p>
    <w:p w:rsidR="00231777" w:rsidRPr="00DA165C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43715A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The supervisor &amp; </w:t>
      </w:r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the umpire is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B86DDF">
        <w:rPr>
          <w:rFonts w:cstheme="minorHAnsi"/>
          <w:color w:val="404040" w:themeColor="text1" w:themeTint="BF"/>
          <w:sz w:val="22"/>
          <w:szCs w:val="22"/>
        </w:rPr>
        <w:t>ASC-TP</w:t>
      </w:r>
      <w:r w:rsidR="00B86DDF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B86DDF">
        <w:rPr>
          <w:rFonts w:cstheme="minorHAnsi"/>
          <w:color w:val="404040" w:themeColor="text1" w:themeTint="BF"/>
          <w:sz w:val="22"/>
          <w:szCs w:val="22"/>
        </w:rPr>
        <w:t>ASC-TP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August</w:t>
      </w:r>
      <w:r w:rsidR="0043715A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B86DDF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2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2019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r w:rsidR="000D08E8">
        <w:rPr>
          <w:rFonts w:cstheme="minorHAnsi"/>
          <w:color w:val="404040" w:themeColor="text1" w:themeTint="BF"/>
          <w:sz w:val="22"/>
          <w:szCs w:val="22"/>
        </w:rPr>
        <w:t>May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B86DDF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2</w:t>
      </w:r>
      <w:r w:rsidR="00967E58"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</w:rPr>
        <w:t>2019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charge.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Planner at</w:t>
      </w:r>
      <w:r w:rsidRPr="0043068A">
        <w:rPr>
          <w:rFonts w:cstheme="minorHAnsi"/>
          <w:sz w:val="22"/>
          <w:szCs w:val="22"/>
        </w:rPr>
        <w:t xml:space="preserve"> </w:t>
      </w:r>
      <w:hyperlink r:id="rId14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B86DDF">
        <w:rPr>
          <w:rFonts w:cstheme="minorHAnsi"/>
          <w:color w:val="404040" w:themeColor="text1" w:themeTint="BF"/>
          <w:sz w:val="22"/>
          <w:szCs w:val="22"/>
        </w:rPr>
        <w:t>ASC-TP</w:t>
      </w:r>
      <w:r w:rsidR="00B86DDF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43068A" w:rsidRDefault="0049138D" w:rsidP="00E24786">
      <w:pPr>
        <w:rPr>
          <w:rFonts w:cstheme="minorHAnsi"/>
          <w:sz w:val="22"/>
          <w:szCs w:val="22"/>
        </w:rPr>
      </w:pPr>
      <w:hyperlink r:id="rId15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43068A">
        <w:rPr>
          <w:rFonts w:cstheme="minorHAnsi"/>
          <w:sz w:val="22"/>
          <w:szCs w:val="22"/>
        </w:rPr>
        <w:t xml:space="preserve"> 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6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43068A">
        <w:rPr>
          <w:rFonts w:cstheme="minorHAnsi"/>
          <w:sz w:val="22"/>
          <w:szCs w:val="22"/>
        </w:rPr>
        <w:t xml:space="preserve">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7" w:history="1">
        <w:r w:rsidR="00B86DDF">
          <w:rPr>
            <w:rStyle w:val="Hyperlink"/>
          </w:rPr>
          <w:t>https://www.asc-florida.com/</w:t>
        </w:r>
      </w:hyperlink>
      <w:r w:rsidR="00BF5008">
        <w:t xml:space="preserve"> </w:t>
      </w:r>
    </w:p>
    <w:p w:rsidR="00231777" w:rsidRPr="0043068A" w:rsidRDefault="00231777" w:rsidP="00231777">
      <w:pPr>
        <w:rPr>
          <w:sz w:val="22"/>
          <w:szCs w:val="22"/>
          <w:u w:val="single"/>
          <w:lang w:val="en-GB"/>
        </w:rPr>
      </w:pPr>
    </w:p>
    <w:p w:rsidR="00231777" w:rsidRPr="00DA165C" w:rsidRDefault="00231777" w:rsidP="00231777">
      <w:pPr>
        <w:rPr>
          <w:color w:val="404040" w:themeColor="text1" w:themeTint="BF"/>
          <w:sz w:val="22"/>
          <w:szCs w:val="22"/>
          <w:u w:val="single"/>
          <w:lang w:val="en-GB"/>
        </w:rPr>
      </w:pPr>
      <w:r w:rsidRPr="00DA165C">
        <w:rPr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DA165C" w:rsidRDefault="00231777" w:rsidP="00231777">
      <w:pPr>
        <w:rPr>
          <w:rStyle w:val="Zwaar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231777" w:rsidRPr="0043068A" w:rsidRDefault="0043068A" w:rsidP="00231777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38.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>The tournament results are counted by UTR (Universal Tennis Rating)</w:t>
      </w:r>
      <w:r w:rsidR="00231777" w:rsidRPr="0043068A">
        <w:rPr>
          <w:sz w:val="22"/>
          <w:szCs w:val="22"/>
          <w:lang w:val="en-GB"/>
        </w:rPr>
        <w:t xml:space="preserve"> </w:t>
      </w:r>
      <w:hyperlink r:id="rId18" w:history="1">
        <w:r w:rsidR="00231777"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266C4E" w:rsidRDefault="0043068A" w:rsidP="00231777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 xml:space="preserve">The tournament results are counted by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" </w:t>
      </w:r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="00231777"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19" w:history="1">
        <w:r w:rsidR="00231777"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956DF1" w:rsidRDefault="00956DF1" w:rsidP="00231777">
      <w:pPr>
        <w:tabs>
          <w:tab w:val="left" w:pos="7956"/>
        </w:tabs>
      </w:pPr>
    </w:p>
    <w:p w:rsidR="00956DF1" w:rsidRPr="00DA165C" w:rsidRDefault="00956DF1" w:rsidP="00956DF1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956DF1" w:rsidRPr="00DA165C" w:rsidRDefault="00956DF1" w:rsidP="00231777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231777" w:rsidRPr="00DA165C" w:rsidRDefault="00956DF1" w:rsidP="00266C4E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40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E24786" w:rsidRPr="00DA165C" w:rsidRDefault="00956DF1" w:rsidP="00266C4E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41</w:t>
      </w:r>
      <w:r w:rsidR="0043068A"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A077A0" w:rsidRPr="00DA165C" w:rsidRDefault="00E24786" w:rsidP="00231777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DA165C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E06F97" w:rsidRDefault="006A11E2" w:rsidP="00E5647B">
      <w:pPr>
        <w:rPr>
          <w:rFonts w:cstheme="minorHAnsi"/>
          <w:noProof/>
          <w:sz w:val="28"/>
          <w:szCs w:val="28"/>
        </w:rPr>
      </w:pPr>
      <w:r w:rsidRPr="006A11E2">
        <w:rPr>
          <w:rFonts w:cstheme="minorHAnsi"/>
          <w:noProof/>
          <w:sz w:val="28"/>
          <w:szCs w:val="28"/>
        </w:rPr>
        <w:drawing>
          <wp:inline distT="0" distB="0" distL="0" distR="0">
            <wp:extent cx="2895600" cy="796674"/>
            <wp:effectExtent l="0" t="0" r="0" b="0"/>
            <wp:docPr id="8" name="Afbeelding 2" descr="C:\Users\GORAN\Desktop\AS-C  USA\44. TEN PRO Glob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AS-C  USA\44. TEN PRO Global 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12" cy="79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D7" w:rsidRPr="00326538" w:rsidRDefault="005A11D7">
      <w:pPr>
        <w:rPr>
          <w:rFonts w:cstheme="minorHAnsi"/>
        </w:rPr>
      </w:pPr>
    </w:p>
    <w:sectPr w:rsidR="005A11D7" w:rsidRPr="00326538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1198A"/>
    <w:rsid w:val="000310AB"/>
    <w:rsid w:val="00034288"/>
    <w:rsid w:val="00034607"/>
    <w:rsid w:val="00040C6D"/>
    <w:rsid w:val="000468A0"/>
    <w:rsid w:val="0005498B"/>
    <w:rsid w:val="0006179F"/>
    <w:rsid w:val="00065D04"/>
    <w:rsid w:val="00081153"/>
    <w:rsid w:val="000902D2"/>
    <w:rsid w:val="000A092F"/>
    <w:rsid w:val="000A5499"/>
    <w:rsid w:val="000B0A8C"/>
    <w:rsid w:val="000B1EF6"/>
    <w:rsid w:val="000B3609"/>
    <w:rsid w:val="000B5B84"/>
    <w:rsid w:val="000D08E8"/>
    <w:rsid w:val="000E1607"/>
    <w:rsid w:val="000E7DF6"/>
    <w:rsid w:val="000F4218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4C48"/>
    <w:rsid w:val="001B5A90"/>
    <w:rsid w:val="001B647E"/>
    <w:rsid w:val="001B6E37"/>
    <w:rsid w:val="001C0B6B"/>
    <w:rsid w:val="001D4EC9"/>
    <w:rsid w:val="001E0B38"/>
    <w:rsid w:val="001E184D"/>
    <w:rsid w:val="001E26B4"/>
    <w:rsid w:val="002033D1"/>
    <w:rsid w:val="00210165"/>
    <w:rsid w:val="00214B6F"/>
    <w:rsid w:val="002150C7"/>
    <w:rsid w:val="00231777"/>
    <w:rsid w:val="00232F88"/>
    <w:rsid w:val="0024388A"/>
    <w:rsid w:val="00252C71"/>
    <w:rsid w:val="00266C4E"/>
    <w:rsid w:val="00274227"/>
    <w:rsid w:val="002809A3"/>
    <w:rsid w:val="002839E5"/>
    <w:rsid w:val="00284A75"/>
    <w:rsid w:val="0028544B"/>
    <w:rsid w:val="002C15EE"/>
    <w:rsid w:val="002C5681"/>
    <w:rsid w:val="002D17E0"/>
    <w:rsid w:val="002D5574"/>
    <w:rsid w:val="002E195F"/>
    <w:rsid w:val="002E1EA1"/>
    <w:rsid w:val="002E4270"/>
    <w:rsid w:val="002E57F9"/>
    <w:rsid w:val="00320541"/>
    <w:rsid w:val="00320689"/>
    <w:rsid w:val="00322590"/>
    <w:rsid w:val="00326538"/>
    <w:rsid w:val="00337117"/>
    <w:rsid w:val="00342755"/>
    <w:rsid w:val="003565EE"/>
    <w:rsid w:val="003574B9"/>
    <w:rsid w:val="0038459A"/>
    <w:rsid w:val="00387C8A"/>
    <w:rsid w:val="003900A4"/>
    <w:rsid w:val="00391197"/>
    <w:rsid w:val="00396DB8"/>
    <w:rsid w:val="003A105F"/>
    <w:rsid w:val="003A77E7"/>
    <w:rsid w:val="003B581B"/>
    <w:rsid w:val="003B6BA7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3715A"/>
    <w:rsid w:val="00445BDF"/>
    <w:rsid w:val="004526D3"/>
    <w:rsid w:val="00454700"/>
    <w:rsid w:val="00456B97"/>
    <w:rsid w:val="00465EAF"/>
    <w:rsid w:val="00470DF4"/>
    <w:rsid w:val="00484D46"/>
    <w:rsid w:val="0049138D"/>
    <w:rsid w:val="0049453C"/>
    <w:rsid w:val="004968A3"/>
    <w:rsid w:val="00497F58"/>
    <w:rsid w:val="004A5E3D"/>
    <w:rsid w:val="004A6A02"/>
    <w:rsid w:val="004B117A"/>
    <w:rsid w:val="004C1852"/>
    <w:rsid w:val="004C2B1E"/>
    <w:rsid w:val="004D6DB7"/>
    <w:rsid w:val="00500AB8"/>
    <w:rsid w:val="00505010"/>
    <w:rsid w:val="005056EF"/>
    <w:rsid w:val="005107F9"/>
    <w:rsid w:val="0051114E"/>
    <w:rsid w:val="00514C81"/>
    <w:rsid w:val="00520B1D"/>
    <w:rsid w:val="005242DB"/>
    <w:rsid w:val="0054069F"/>
    <w:rsid w:val="00547DF0"/>
    <w:rsid w:val="005570EA"/>
    <w:rsid w:val="005603CC"/>
    <w:rsid w:val="00561F53"/>
    <w:rsid w:val="00570FD5"/>
    <w:rsid w:val="0057707B"/>
    <w:rsid w:val="005839B0"/>
    <w:rsid w:val="005A11D7"/>
    <w:rsid w:val="005A6130"/>
    <w:rsid w:val="005B2E6E"/>
    <w:rsid w:val="005B5EA6"/>
    <w:rsid w:val="005F3FBA"/>
    <w:rsid w:val="005F617E"/>
    <w:rsid w:val="00601A8B"/>
    <w:rsid w:val="006169EC"/>
    <w:rsid w:val="006174D8"/>
    <w:rsid w:val="00643884"/>
    <w:rsid w:val="006505AA"/>
    <w:rsid w:val="006654AD"/>
    <w:rsid w:val="006658EF"/>
    <w:rsid w:val="00666B5B"/>
    <w:rsid w:val="006703C5"/>
    <w:rsid w:val="00673147"/>
    <w:rsid w:val="0067384A"/>
    <w:rsid w:val="006766B8"/>
    <w:rsid w:val="006769E0"/>
    <w:rsid w:val="00677B4A"/>
    <w:rsid w:val="0068056B"/>
    <w:rsid w:val="006833D8"/>
    <w:rsid w:val="006958FE"/>
    <w:rsid w:val="006A11E2"/>
    <w:rsid w:val="006B4EC3"/>
    <w:rsid w:val="006B5635"/>
    <w:rsid w:val="006C4A21"/>
    <w:rsid w:val="006D1F58"/>
    <w:rsid w:val="006E2A75"/>
    <w:rsid w:val="006E6DC3"/>
    <w:rsid w:val="006E79B1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43FED"/>
    <w:rsid w:val="00751611"/>
    <w:rsid w:val="007615D6"/>
    <w:rsid w:val="00762743"/>
    <w:rsid w:val="00763B1E"/>
    <w:rsid w:val="00775341"/>
    <w:rsid w:val="007764ED"/>
    <w:rsid w:val="00787F9E"/>
    <w:rsid w:val="00790C2A"/>
    <w:rsid w:val="007A55F0"/>
    <w:rsid w:val="007B64D4"/>
    <w:rsid w:val="007C5FEA"/>
    <w:rsid w:val="007D3305"/>
    <w:rsid w:val="007F2BDA"/>
    <w:rsid w:val="00810269"/>
    <w:rsid w:val="008524EA"/>
    <w:rsid w:val="00863824"/>
    <w:rsid w:val="00867207"/>
    <w:rsid w:val="00870CDC"/>
    <w:rsid w:val="00870F69"/>
    <w:rsid w:val="00882577"/>
    <w:rsid w:val="00886FBE"/>
    <w:rsid w:val="008A1946"/>
    <w:rsid w:val="008B0243"/>
    <w:rsid w:val="008B35F3"/>
    <w:rsid w:val="008C2B99"/>
    <w:rsid w:val="008D159C"/>
    <w:rsid w:val="008D5DFF"/>
    <w:rsid w:val="008E7067"/>
    <w:rsid w:val="008E7907"/>
    <w:rsid w:val="008F0E64"/>
    <w:rsid w:val="008F2C44"/>
    <w:rsid w:val="008F5371"/>
    <w:rsid w:val="0090173F"/>
    <w:rsid w:val="009120F8"/>
    <w:rsid w:val="00914816"/>
    <w:rsid w:val="00922F0E"/>
    <w:rsid w:val="00950B01"/>
    <w:rsid w:val="00956DF1"/>
    <w:rsid w:val="00967E58"/>
    <w:rsid w:val="00971E59"/>
    <w:rsid w:val="009740E1"/>
    <w:rsid w:val="00975D5D"/>
    <w:rsid w:val="009A1046"/>
    <w:rsid w:val="009B201A"/>
    <w:rsid w:val="009B4E39"/>
    <w:rsid w:val="009C4A7B"/>
    <w:rsid w:val="009C659A"/>
    <w:rsid w:val="009D1007"/>
    <w:rsid w:val="009D6A58"/>
    <w:rsid w:val="009F23E4"/>
    <w:rsid w:val="009F52E1"/>
    <w:rsid w:val="009F5B50"/>
    <w:rsid w:val="00A04981"/>
    <w:rsid w:val="00A077A0"/>
    <w:rsid w:val="00A1102A"/>
    <w:rsid w:val="00A30B7A"/>
    <w:rsid w:val="00A4520E"/>
    <w:rsid w:val="00A45744"/>
    <w:rsid w:val="00A45FEE"/>
    <w:rsid w:val="00A60B4C"/>
    <w:rsid w:val="00A63AD0"/>
    <w:rsid w:val="00A73B79"/>
    <w:rsid w:val="00A77CB7"/>
    <w:rsid w:val="00A8453A"/>
    <w:rsid w:val="00A86E27"/>
    <w:rsid w:val="00A9300A"/>
    <w:rsid w:val="00A93145"/>
    <w:rsid w:val="00A935DA"/>
    <w:rsid w:val="00AA6C55"/>
    <w:rsid w:val="00AB1503"/>
    <w:rsid w:val="00AC2BD8"/>
    <w:rsid w:val="00AD0403"/>
    <w:rsid w:val="00AE077B"/>
    <w:rsid w:val="00AE60A2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31451"/>
    <w:rsid w:val="00B43103"/>
    <w:rsid w:val="00B55801"/>
    <w:rsid w:val="00B560DE"/>
    <w:rsid w:val="00B67076"/>
    <w:rsid w:val="00B67DF4"/>
    <w:rsid w:val="00B73B8F"/>
    <w:rsid w:val="00B83F5E"/>
    <w:rsid w:val="00B8473F"/>
    <w:rsid w:val="00B86DDF"/>
    <w:rsid w:val="00B975F7"/>
    <w:rsid w:val="00BA2039"/>
    <w:rsid w:val="00BA31B9"/>
    <w:rsid w:val="00BC0C31"/>
    <w:rsid w:val="00BC5846"/>
    <w:rsid w:val="00BC6138"/>
    <w:rsid w:val="00BD68EC"/>
    <w:rsid w:val="00BF3A21"/>
    <w:rsid w:val="00BF5008"/>
    <w:rsid w:val="00C14FC9"/>
    <w:rsid w:val="00C3570F"/>
    <w:rsid w:val="00C44514"/>
    <w:rsid w:val="00C44890"/>
    <w:rsid w:val="00C46C78"/>
    <w:rsid w:val="00C558C6"/>
    <w:rsid w:val="00C6019A"/>
    <w:rsid w:val="00C621FE"/>
    <w:rsid w:val="00C66FBC"/>
    <w:rsid w:val="00C67C4E"/>
    <w:rsid w:val="00C8219C"/>
    <w:rsid w:val="00C92147"/>
    <w:rsid w:val="00C97C3C"/>
    <w:rsid w:val="00CB7499"/>
    <w:rsid w:val="00CC50BF"/>
    <w:rsid w:val="00CD1562"/>
    <w:rsid w:val="00CF3B74"/>
    <w:rsid w:val="00CF50D5"/>
    <w:rsid w:val="00D060A2"/>
    <w:rsid w:val="00D13341"/>
    <w:rsid w:val="00D34282"/>
    <w:rsid w:val="00D34B53"/>
    <w:rsid w:val="00D43666"/>
    <w:rsid w:val="00D4583C"/>
    <w:rsid w:val="00D4765C"/>
    <w:rsid w:val="00D55DDF"/>
    <w:rsid w:val="00D63B2D"/>
    <w:rsid w:val="00D67C39"/>
    <w:rsid w:val="00D701BA"/>
    <w:rsid w:val="00D717D5"/>
    <w:rsid w:val="00D85554"/>
    <w:rsid w:val="00DA165C"/>
    <w:rsid w:val="00DB1CDA"/>
    <w:rsid w:val="00DB77A2"/>
    <w:rsid w:val="00DC2605"/>
    <w:rsid w:val="00DE0B8D"/>
    <w:rsid w:val="00DE7126"/>
    <w:rsid w:val="00E0076A"/>
    <w:rsid w:val="00E067C3"/>
    <w:rsid w:val="00E06F97"/>
    <w:rsid w:val="00E12103"/>
    <w:rsid w:val="00E125CE"/>
    <w:rsid w:val="00E13422"/>
    <w:rsid w:val="00E2067C"/>
    <w:rsid w:val="00E22EEF"/>
    <w:rsid w:val="00E24786"/>
    <w:rsid w:val="00E32A4A"/>
    <w:rsid w:val="00E3500E"/>
    <w:rsid w:val="00E373A0"/>
    <w:rsid w:val="00E421D2"/>
    <w:rsid w:val="00E50C76"/>
    <w:rsid w:val="00E5647B"/>
    <w:rsid w:val="00E56F1B"/>
    <w:rsid w:val="00E66866"/>
    <w:rsid w:val="00E84C8F"/>
    <w:rsid w:val="00E97021"/>
    <w:rsid w:val="00E97856"/>
    <w:rsid w:val="00EA1AB0"/>
    <w:rsid w:val="00EB7C96"/>
    <w:rsid w:val="00EC29EF"/>
    <w:rsid w:val="00EC40CF"/>
    <w:rsid w:val="00ED410A"/>
    <w:rsid w:val="00ED5BFE"/>
    <w:rsid w:val="00EE4334"/>
    <w:rsid w:val="00F07975"/>
    <w:rsid w:val="00F1204C"/>
    <w:rsid w:val="00F200B5"/>
    <w:rsid w:val="00F22B9C"/>
    <w:rsid w:val="00F3085C"/>
    <w:rsid w:val="00F31FA9"/>
    <w:rsid w:val="00F4007C"/>
    <w:rsid w:val="00F415DA"/>
    <w:rsid w:val="00F45A15"/>
    <w:rsid w:val="00F525A0"/>
    <w:rsid w:val="00F53060"/>
    <w:rsid w:val="00F65299"/>
    <w:rsid w:val="00F70D57"/>
    <w:rsid w:val="00F717F2"/>
    <w:rsid w:val="00F71AC1"/>
    <w:rsid w:val="00F84B5E"/>
    <w:rsid w:val="00F85E59"/>
    <w:rsid w:val="00F87643"/>
    <w:rsid w:val="00F979B7"/>
    <w:rsid w:val="00FA7236"/>
    <w:rsid w:val="00FB1CDB"/>
    <w:rsid w:val="00FB4A9A"/>
    <w:rsid w:val="00FB76A3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mailto:proglobus@live.nl" TargetMode="External"/><Relationship Id="rId18" Type="http://schemas.openxmlformats.org/officeDocument/2006/relationships/hyperlink" Target="https://universaltenni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://www.tournamentsoftware.com" TargetMode="External"/><Relationship Id="rId17" Type="http://schemas.openxmlformats.org/officeDocument/2006/relationships/hyperlink" Target="https://www.asc-florid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namentsoftware.com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n-pro.net" TargetMode="External"/><Relationship Id="rId10" Type="http://schemas.openxmlformats.org/officeDocument/2006/relationships/hyperlink" Target="http://www.ten-pro.net" TargetMode="External"/><Relationship Id="rId19" Type="http://schemas.openxmlformats.org/officeDocument/2006/relationships/hyperlink" Target="http://www.ten-pr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namentsoftware.com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395</cp:revision>
  <dcterms:created xsi:type="dcterms:W3CDTF">2015-06-03T06:03:00Z</dcterms:created>
  <dcterms:modified xsi:type="dcterms:W3CDTF">2019-04-02T15:04:00Z</dcterms:modified>
</cp:coreProperties>
</file>