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3" w:rsidRDefault="000A2B97">
      <w:r w:rsidRPr="000A2B97">
        <w:rPr>
          <w:noProof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10">
        <w:t xml:space="preserve">        </w:t>
      </w:r>
      <w:r w:rsidR="009D5F10">
        <w:rPr>
          <w:noProof/>
        </w:rPr>
        <w:drawing>
          <wp:inline distT="0" distB="0" distL="0" distR="0">
            <wp:extent cx="2624139" cy="733425"/>
            <wp:effectExtent l="19050" t="0" r="4761" b="0"/>
            <wp:docPr id="3" name="Afbeelding 1" descr="C:\Users\Marko\Desktop\KCA 2018\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KCA 2018\9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06" cy="73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7DA">
        <w:t xml:space="preserve">                                          </w:t>
      </w:r>
    </w:p>
    <w:p w:rsidR="009A207C" w:rsidRDefault="00CB52D5">
      <w:r>
        <w:t xml:space="preserve"> </w:t>
      </w:r>
    </w:p>
    <w:p w:rsidR="00080D7A" w:rsidRDefault="00E53BF1">
      <w:r>
        <w:rPr>
          <w:noProof/>
        </w:rPr>
        <w:drawing>
          <wp:inline distT="0" distB="0" distL="0" distR="0">
            <wp:extent cx="5753100" cy="990600"/>
            <wp:effectExtent l="19050" t="0" r="0" b="0"/>
            <wp:docPr id="1" name="Afbeelding 1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9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DA" w:rsidRDefault="005A17DA"/>
    <w:p w:rsidR="002E27E2" w:rsidRDefault="002E27E2" w:rsidP="007F6A61">
      <w:pPr>
        <w:rPr>
          <w:rFonts w:asciiTheme="majorHAnsi" w:hAnsiTheme="majorHAnsi"/>
          <w:u w:val="single"/>
          <w:lang w:val="en-GB"/>
        </w:rPr>
      </w:pPr>
    </w:p>
    <w:p w:rsidR="007F6A61" w:rsidRPr="00603403" w:rsidRDefault="007F6A61" w:rsidP="007F6A61">
      <w:pPr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  <w:t>ON-COURT COACHING</w:t>
      </w:r>
      <w:r w:rsidR="00EA435E"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  <w:t xml:space="preserve"> RULES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  <w:t>:</w:t>
      </w:r>
    </w:p>
    <w:p w:rsidR="002E27E2" w:rsidRPr="00603403" w:rsidRDefault="002E27E2" w:rsidP="007F6A61">
      <w:pPr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</w:pPr>
    </w:p>
    <w:p w:rsidR="00911132" w:rsidRPr="00603403" w:rsidRDefault="0091113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7F6A61" w:rsidRPr="00603403" w:rsidRDefault="007F6A61" w:rsidP="007F6A61">
      <w:pPr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as a coach 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per set,</w:t>
      </w:r>
      <w:r w:rsidR="00101D78"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 </w:t>
      </w:r>
      <w:r w:rsidR="00101D78" w:rsidRPr="00603403">
        <w:rPr>
          <w:rFonts w:asciiTheme="majorHAnsi" w:hAnsiTheme="majorHAnsi" w:cstheme="majorHAnsi"/>
          <w:b/>
          <w:color w:val="404040" w:themeColor="text1" w:themeTint="BF"/>
          <w:sz w:val="22"/>
          <w:szCs w:val="22"/>
          <w:lang w:val="en-GB"/>
        </w:rPr>
        <w:t>only at the end of a set</w:t>
      </w:r>
      <w:r w:rsidR="00E7264B"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,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maximum of 2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minutes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).</w:t>
      </w:r>
    </w:p>
    <w:p w:rsidR="00911132" w:rsidRPr="00603403" w:rsidRDefault="0091113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bookmarkStart w:id="0" w:name="_GoBack"/>
      <w:bookmarkEnd w:id="0"/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Provided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rules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procedures are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coach go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 to provide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1.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Designation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Procedures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a. Both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designate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(1) coach per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permitted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b.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change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use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different coach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match/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tournament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2.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are subject to Code of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Conduct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,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including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theprovisions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relating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behavior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should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dress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present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themselves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a professional</w:t>
      </w:r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manner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wear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appropriate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attire.Tracksuits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t-shirts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permitted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Whether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dressed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professionally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thesole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discretion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the Supervisor and Referee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beappealable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If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asked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change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fails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it</w:t>
      </w:r>
      <w:proofErr w:type="spellEnd"/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result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his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removed</w:t>
      </w:r>
      <w:proofErr w:type="spellEnd"/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match.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If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behaved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aggressively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unacceptable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/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participate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remainder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Tournament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d.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converse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chosen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language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e.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should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sit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designated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seats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toallow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easy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quick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access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The coach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use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theofficial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entrance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get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under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circumstancesclimb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stands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jump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over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fences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which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mayresult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his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removed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f.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provide verbal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assistance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/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advice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duringthe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period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are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permitted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bringany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articles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(i.e.,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food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drinks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equipment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medical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supplies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onto</w:t>
      </w:r>
      <w:proofErr w:type="spellEnd"/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lastRenderedPageBreak/>
        <w:t xml:space="preserve">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provide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(s).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brought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onto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but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left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with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g.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leave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immediately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upon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theSupervisor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Umpire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announcing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“Time”.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h.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provide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communicate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with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outside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Coaches are subject to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normal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rules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outside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oncourt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procedures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penalized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accordance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the Penalty Point system.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3.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Requests</w:t>
      </w:r>
      <w:proofErr w:type="spellEnd"/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made to the Supervisor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Umpire.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coach at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following</w:t>
      </w:r>
      <w:proofErr w:type="spellEnd"/>
      <w:r w:rsidR="00F2633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times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: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i.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per set (at the end of a set). 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 set break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as part of the set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just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finished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;*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from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coach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called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leaves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respectively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ii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maximum time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is 120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seconds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two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minute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)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iii.In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case of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violation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time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penalized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accordance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to the Penalty Point system.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result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his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removed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6E14CB" w:rsidRPr="00603403" w:rsidRDefault="006E14CB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6E14CB" w:rsidRPr="00603403" w:rsidRDefault="006E14CB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d.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(PPS: violation of the rules, coaching outside On-Court coaching time).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6E14CB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e</w:t>
      </w:r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If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makes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without Supervisor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Chair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Umpire (her opponent)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asking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taking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change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/toilet break,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such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count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as her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(1)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allowed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set,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regardless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whether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opponent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also</w:t>
      </w:r>
      <w:proofErr w:type="spellEnd"/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makes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coach.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BE5B39" w:rsidRPr="00603403" w:rsidRDefault="006E14CB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</w:t>
      </w:r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only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make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(1) of the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following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requests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at the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same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time: (i)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; (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ii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)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MTO;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iii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toilet/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change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break.</w:t>
      </w:r>
    </w:p>
    <w:p w:rsidR="00CB5D62" w:rsidRPr="00603403" w:rsidRDefault="00CB5D6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CB5D62" w:rsidRPr="00603403" w:rsidRDefault="00E75BC4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TEN-PRO</w:t>
      </w:r>
      <w:r w:rsidR="00101D78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Team</w:t>
      </w:r>
    </w:p>
    <w:p w:rsidR="006476F1" w:rsidRDefault="006476F1">
      <w:pPr>
        <w:rPr>
          <w:rFonts w:asciiTheme="majorHAnsi" w:hAnsiTheme="majorHAnsi"/>
        </w:rPr>
      </w:pPr>
    </w:p>
    <w:p w:rsidR="00FE1902" w:rsidRPr="00FE1902" w:rsidRDefault="00603403" w:rsidP="00FE1902">
      <w:pPr>
        <w:rPr>
          <w:rFonts w:asciiTheme="majorHAnsi" w:hAnsiTheme="majorHAnsi"/>
        </w:rPr>
      </w:pPr>
      <w:r w:rsidRPr="00603403">
        <w:rPr>
          <w:rFonts w:asciiTheme="majorHAnsi" w:hAnsiTheme="majorHAnsi"/>
          <w:noProof/>
        </w:rPr>
        <w:drawing>
          <wp:inline distT="0" distB="0" distL="0" distR="0">
            <wp:extent cx="2724150" cy="749502"/>
            <wp:effectExtent l="0" t="0" r="0" b="0"/>
            <wp:docPr id="5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02" w:rsidRDefault="00FE1902" w:rsidP="00FE1902">
      <w:pPr>
        <w:rPr>
          <w:rFonts w:asciiTheme="majorHAnsi" w:hAnsiTheme="majorHAnsi"/>
        </w:rPr>
      </w:pPr>
    </w:p>
    <w:p w:rsidR="006476F1" w:rsidRPr="00FE1902" w:rsidRDefault="00FE1902" w:rsidP="00FE1902">
      <w:pPr>
        <w:tabs>
          <w:tab w:val="left" w:pos="57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6476F1" w:rsidRPr="00FE1902" w:rsidSect="009A2A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76F1"/>
    <w:rsid w:val="0000324C"/>
    <w:rsid w:val="0006768E"/>
    <w:rsid w:val="00067E89"/>
    <w:rsid w:val="00074143"/>
    <w:rsid w:val="00076FAE"/>
    <w:rsid w:val="00080D7A"/>
    <w:rsid w:val="00081E18"/>
    <w:rsid w:val="000A2B97"/>
    <w:rsid w:val="000B186B"/>
    <w:rsid w:val="000B3857"/>
    <w:rsid w:val="000E097A"/>
    <w:rsid w:val="00101D78"/>
    <w:rsid w:val="00126A78"/>
    <w:rsid w:val="00176A21"/>
    <w:rsid w:val="001E15C6"/>
    <w:rsid w:val="001E5B9A"/>
    <w:rsid w:val="002240EE"/>
    <w:rsid w:val="00241201"/>
    <w:rsid w:val="002A1B8D"/>
    <w:rsid w:val="002D5B35"/>
    <w:rsid w:val="002E27E2"/>
    <w:rsid w:val="002F1A70"/>
    <w:rsid w:val="00305A4C"/>
    <w:rsid w:val="00333866"/>
    <w:rsid w:val="00391844"/>
    <w:rsid w:val="00406CA8"/>
    <w:rsid w:val="00440D83"/>
    <w:rsid w:val="00457D81"/>
    <w:rsid w:val="00484516"/>
    <w:rsid w:val="004A3BF3"/>
    <w:rsid w:val="004B5163"/>
    <w:rsid w:val="004D405D"/>
    <w:rsid w:val="00507AED"/>
    <w:rsid w:val="0052322B"/>
    <w:rsid w:val="00531AE3"/>
    <w:rsid w:val="00573E8D"/>
    <w:rsid w:val="00591B9D"/>
    <w:rsid w:val="005A17DA"/>
    <w:rsid w:val="005D6BFF"/>
    <w:rsid w:val="00603403"/>
    <w:rsid w:val="00617843"/>
    <w:rsid w:val="0064334C"/>
    <w:rsid w:val="006476F1"/>
    <w:rsid w:val="00685D23"/>
    <w:rsid w:val="006A0607"/>
    <w:rsid w:val="006A685A"/>
    <w:rsid w:val="006B763D"/>
    <w:rsid w:val="006C1407"/>
    <w:rsid w:val="006C3CB9"/>
    <w:rsid w:val="006E14CB"/>
    <w:rsid w:val="00707727"/>
    <w:rsid w:val="007363A7"/>
    <w:rsid w:val="007575E8"/>
    <w:rsid w:val="007C1788"/>
    <w:rsid w:val="007C5510"/>
    <w:rsid w:val="007F6607"/>
    <w:rsid w:val="007F6A61"/>
    <w:rsid w:val="00815961"/>
    <w:rsid w:val="00833C2F"/>
    <w:rsid w:val="008433A5"/>
    <w:rsid w:val="00894C54"/>
    <w:rsid w:val="008B4606"/>
    <w:rsid w:val="008B6487"/>
    <w:rsid w:val="008B72EB"/>
    <w:rsid w:val="008E06C5"/>
    <w:rsid w:val="00911132"/>
    <w:rsid w:val="0092227D"/>
    <w:rsid w:val="00947727"/>
    <w:rsid w:val="00960ED3"/>
    <w:rsid w:val="009A0B71"/>
    <w:rsid w:val="009A207C"/>
    <w:rsid w:val="009A2AA5"/>
    <w:rsid w:val="009C2443"/>
    <w:rsid w:val="009D5F10"/>
    <w:rsid w:val="00AA06CC"/>
    <w:rsid w:val="00AA64B5"/>
    <w:rsid w:val="00AC0458"/>
    <w:rsid w:val="00AE108F"/>
    <w:rsid w:val="00AE7909"/>
    <w:rsid w:val="00B13431"/>
    <w:rsid w:val="00B30644"/>
    <w:rsid w:val="00B60D8C"/>
    <w:rsid w:val="00BA63F5"/>
    <w:rsid w:val="00BA732E"/>
    <w:rsid w:val="00BE5B39"/>
    <w:rsid w:val="00C323D8"/>
    <w:rsid w:val="00CB52D5"/>
    <w:rsid w:val="00CB5D62"/>
    <w:rsid w:val="00CD1EED"/>
    <w:rsid w:val="00CE32C7"/>
    <w:rsid w:val="00CF1F79"/>
    <w:rsid w:val="00D07E5C"/>
    <w:rsid w:val="00D56121"/>
    <w:rsid w:val="00D9283F"/>
    <w:rsid w:val="00DF1AC0"/>
    <w:rsid w:val="00E00378"/>
    <w:rsid w:val="00E035CE"/>
    <w:rsid w:val="00E34013"/>
    <w:rsid w:val="00E53BF1"/>
    <w:rsid w:val="00E7264B"/>
    <w:rsid w:val="00E75BC4"/>
    <w:rsid w:val="00E92710"/>
    <w:rsid w:val="00EA435E"/>
    <w:rsid w:val="00EB3435"/>
    <w:rsid w:val="00EE7C40"/>
    <w:rsid w:val="00F26335"/>
    <w:rsid w:val="00F30AC7"/>
    <w:rsid w:val="00F40A8E"/>
    <w:rsid w:val="00F93238"/>
    <w:rsid w:val="00FD6E34"/>
    <w:rsid w:val="00FE1902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72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4A3B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kaak</dc:creator>
  <cp:lastModifiedBy>GORAN</cp:lastModifiedBy>
  <cp:revision>74</cp:revision>
  <dcterms:created xsi:type="dcterms:W3CDTF">2015-05-11T08:16:00Z</dcterms:created>
  <dcterms:modified xsi:type="dcterms:W3CDTF">2018-10-14T18:13:00Z</dcterms:modified>
</cp:coreProperties>
</file>